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9BD5" w14:textId="77777777" w:rsidR="001B5F43" w:rsidRDefault="00851FD6">
      <w:pPr>
        <w:spacing w:after="31" w:line="259" w:lineRule="auto"/>
        <w:ind w:left="2" w:firstLine="0"/>
        <w:jc w:val="left"/>
      </w:pPr>
      <w:r>
        <w:rPr>
          <w:b/>
          <w:sz w:val="28"/>
        </w:rPr>
        <w:t xml:space="preserve">TÄHTAJALISE HOIUSE LEPINGU TINGIMUSED  </w:t>
      </w:r>
    </w:p>
    <w:p w14:paraId="66DC193C" w14:textId="77777777" w:rsidR="001B5F43" w:rsidRDefault="00851FD6">
      <w:pPr>
        <w:ind w:left="-5"/>
      </w:pPr>
      <w:r>
        <w:t xml:space="preserve">Kehtivad alates 26.01.2016 </w:t>
      </w:r>
    </w:p>
    <w:p w14:paraId="24C1115A" w14:textId="77777777" w:rsidR="001B5F43" w:rsidRDefault="00851FD6">
      <w:pPr>
        <w:spacing w:after="0" w:line="259" w:lineRule="auto"/>
        <w:ind w:left="0" w:firstLine="0"/>
        <w:jc w:val="left"/>
      </w:pPr>
      <w:r>
        <w:t xml:space="preserve"> </w:t>
      </w:r>
    </w:p>
    <w:p w14:paraId="1DC37B85" w14:textId="77777777" w:rsidR="001B5F43" w:rsidRDefault="00851FD6">
      <w:pPr>
        <w:spacing w:after="0" w:line="259" w:lineRule="auto"/>
        <w:ind w:left="0" w:firstLine="0"/>
        <w:jc w:val="left"/>
      </w:pPr>
      <w:r>
        <w:t xml:space="preserve"> </w:t>
      </w:r>
    </w:p>
    <w:p w14:paraId="6F665E47" w14:textId="77777777" w:rsidR="001B5F43" w:rsidRDefault="00851FD6">
      <w:pPr>
        <w:pStyle w:val="Heading1"/>
        <w:ind w:left="207" w:hanging="222"/>
      </w:pPr>
      <w:r>
        <w:t xml:space="preserve">ÜLDSÄTTED </w:t>
      </w:r>
      <w:r>
        <w:rPr>
          <w:b w:val="0"/>
        </w:rPr>
        <w:t xml:space="preserve"> </w:t>
      </w:r>
    </w:p>
    <w:p w14:paraId="453BB624" w14:textId="77777777" w:rsidR="001B5F43" w:rsidRDefault="00851FD6">
      <w:pPr>
        <w:spacing w:after="0" w:line="259" w:lineRule="auto"/>
        <w:ind w:left="0" w:firstLine="0"/>
        <w:jc w:val="left"/>
      </w:pPr>
      <w:r>
        <w:t xml:space="preserve"> </w:t>
      </w:r>
    </w:p>
    <w:p w14:paraId="1EC74FBB" w14:textId="77777777" w:rsidR="001B5F43" w:rsidRDefault="00851FD6">
      <w:pPr>
        <w:ind w:left="-5"/>
      </w:pPr>
      <w:r>
        <w:t xml:space="preserve">1.1. Tähtajalise hoiuse leping (edaspidi </w:t>
      </w:r>
      <w:r>
        <w:rPr>
          <w:b/>
        </w:rPr>
        <w:t>leping</w:t>
      </w:r>
      <w:r>
        <w:t xml:space="preserve">) on Hea Koostöö Hoiu-laenuühistu (edaspidi </w:t>
      </w:r>
      <w:r>
        <w:rPr>
          <w:b/>
        </w:rPr>
        <w:t>HLÜ</w:t>
      </w:r>
      <w:r>
        <w:t xml:space="preserve">) ja HLÜ liikme (edaspidi </w:t>
      </w:r>
      <w:r>
        <w:rPr>
          <w:b/>
        </w:rPr>
        <w:t>liige</w:t>
      </w:r>
      <w:r>
        <w:t xml:space="preserve">) vaheline leping, mille kohaselt liige hoiustab HLÜ-s kokkulepitud rahasumma (edaspidi </w:t>
      </w:r>
      <w:r>
        <w:rPr>
          <w:b/>
        </w:rPr>
        <w:t>hoiusumma</w:t>
      </w:r>
      <w:r>
        <w:t xml:space="preserve">) lepingus määratud tähtajaks (edaspidi: </w:t>
      </w:r>
      <w:r>
        <w:rPr>
          <w:b/>
        </w:rPr>
        <w:t>hoiuperiood</w:t>
      </w:r>
      <w:r>
        <w:t xml:space="preserve">).  </w:t>
      </w:r>
    </w:p>
    <w:p w14:paraId="5F4A8BCD" w14:textId="77777777" w:rsidR="001B5F43" w:rsidRDefault="00851FD6">
      <w:pPr>
        <w:spacing w:after="0" w:line="259" w:lineRule="auto"/>
        <w:ind w:left="427" w:firstLine="0"/>
        <w:jc w:val="left"/>
      </w:pPr>
      <w:r>
        <w:t xml:space="preserve"> </w:t>
      </w:r>
    </w:p>
    <w:p w14:paraId="49E233A1" w14:textId="77777777" w:rsidR="001B5F43" w:rsidRDefault="00851FD6">
      <w:pPr>
        <w:ind w:left="-5"/>
      </w:pPr>
      <w:r>
        <w:t xml:space="preserve">1.2. Tähtajalise hoiuse tingimused HLÜ-s (sh hoiustatavad valuutad, minimaalsed hoiusummad, hoiuperioodide intressimäärad valuutade lõikes, jms) kehtestab ja muudab HLÜ. Liige saab nende andmete kohta infot HLÜ veebilehelt ja HLÜ teeninduskohast.  </w:t>
      </w:r>
    </w:p>
    <w:p w14:paraId="05E38082" w14:textId="77777777" w:rsidR="001B5F43" w:rsidRDefault="00851FD6">
      <w:pPr>
        <w:spacing w:after="0" w:line="259" w:lineRule="auto"/>
        <w:ind w:left="0" w:firstLine="0"/>
        <w:jc w:val="left"/>
      </w:pPr>
      <w:r>
        <w:t xml:space="preserve"> </w:t>
      </w:r>
    </w:p>
    <w:p w14:paraId="03C5A69D" w14:textId="77777777" w:rsidR="001B5F43" w:rsidRDefault="00851FD6">
      <w:pPr>
        <w:ind w:left="-5"/>
      </w:pPr>
      <w:r>
        <w:t xml:space="preserve">1.3. Lepingu sõlmimisel fikseeritakse lepingus hoiusumma hoiustamise tingimused (sh hoiusumma, intressimäär, hoiuperioodi algus- ja lõppkuupäev, hoiuperioodi pikkus päevades).  </w:t>
      </w:r>
    </w:p>
    <w:p w14:paraId="50958F07" w14:textId="77777777" w:rsidR="001B5F43" w:rsidRDefault="00851FD6">
      <w:pPr>
        <w:spacing w:after="0" w:line="259" w:lineRule="auto"/>
        <w:ind w:left="0" w:firstLine="0"/>
        <w:jc w:val="left"/>
      </w:pPr>
      <w:r>
        <w:t xml:space="preserve"> </w:t>
      </w:r>
    </w:p>
    <w:p w14:paraId="149CF003" w14:textId="77777777" w:rsidR="001B5F43" w:rsidRDefault="00851FD6">
      <w:pPr>
        <w:ind w:left="-5"/>
      </w:pPr>
      <w:r>
        <w:t xml:space="preserve">1.4. Käesoleva lepinguga reguleerimata küsimustes juhindutakse HLÜ ja liikme vahelises suhtluses HLÜ üldtingimustest. Liige on üldtingimustega tutvunud ning on teadlik sealt tulenevatest liikme kohustustest ja HLÜ õigustest.  </w:t>
      </w:r>
    </w:p>
    <w:p w14:paraId="63B06F37" w14:textId="77777777" w:rsidR="001B5F43" w:rsidRDefault="00851FD6">
      <w:pPr>
        <w:spacing w:after="0" w:line="259" w:lineRule="auto"/>
        <w:ind w:left="0" w:firstLine="0"/>
        <w:jc w:val="left"/>
      </w:pPr>
      <w:r>
        <w:t xml:space="preserve"> </w:t>
      </w:r>
    </w:p>
    <w:p w14:paraId="02A77FCE" w14:textId="77777777" w:rsidR="001B5F43" w:rsidRDefault="00851FD6">
      <w:pPr>
        <w:ind w:left="-5"/>
      </w:pPr>
      <w:r>
        <w:t xml:space="preserve">1.5. Lepingule kohaldatakse Eesti Vabariigi õigust. </w:t>
      </w:r>
    </w:p>
    <w:p w14:paraId="6EDEA7BF" w14:textId="77777777" w:rsidR="001B5F43" w:rsidRDefault="00851FD6">
      <w:pPr>
        <w:spacing w:after="0" w:line="259" w:lineRule="auto"/>
        <w:ind w:left="0" w:firstLine="0"/>
        <w:jc w:val="left"/>
      </w:pPr>
      <w:r>
        <w:t xml:space="preserve"> </w:t>
      </w:r>
    </w:p>
    <w:p w14:paraId="6ED64724" w14:textId="77777777" w:rsidR="001B5F43" w:rsidRDefault="00851FD6">
      <w:pPr>
        <w:spacing w:after="0" w:line="259" w:lineRule="auto"/>
        <w:ind w:left="0" w:firstLine="0"/>
        <w:jc w:val="left"/>
      </w:pPr>
      <w:r>
        <w:t xml:space="preserve"> </w:t>
      </w:r>
    </w:p>
    <w:p w14:paraId="2D74317B" w14:textId="77777777" w:rsidR="001B5F43" w:rsidRDefault="00851FD6">
      <w:pPr>
        <w:pStyle w:val="Heading1"/>
        <w:ind w:left="205" w:hanging="220"/>
      </w:pPr>
      <w:r>
        <w:t xml:space="preserve">POOLTE ÕIGUSED JA KOHUSTUSED  </w:t>
      </w:r>
    </w:p>
    <w:p w14:paraId="5D9B09D5" w14:textId="77777777" w:rsidR="001B5F43" w:rsidRDefault="00851FD6">
      <w:pPr>
        <w:spacing w:after="0" w:line="259" w:lineRule="auto"/>
        <w:ind w:left="0" w:firstLine="0"/>
        <w:jc w:val="left"/>
      </w:pPr>
      <w:r>
        <w:t xml:space="preserve"> </w:t>
      </w:r>
    </w:p>
    <w:p w14:paraId="1FD51B87" w14:textId="77777777" w:rsidR="001B5F43" w:rsidRDefault="00851FD6">
      <w:pPr>
        <w:ind w:left="-5"/>
      </w:pPr>
      <w:r>
        <w:t xml:space="preserve">2.1. HLÜ kohustub arvestama ja maksma hoiusummalt intressi ning tagastama hoiusumma lepingus sätestatud tingimustel. Hoiusumma ja netointress kantakse lepingus määratud kontole. Netointress on intress, millelt on kinni peetud tulumaks. </w:t>
      </w:r>
    </w:p>
    <w:p w14:paraId="4D8DDA24" w14:textId="77777777" w:rsidR="001B5F43" w:rsidRDefault="00851FD6">
      <w:pPr>
        <w:spacing w:after="23" w:line="259" w:lineRule="auto"/>
        <w:ind w:left="0" w:firstLine="0"/>
        <w:jc w:val="left"/>
      </w:pPr>
      <w:r>
        <w:t xml:space="preserve"> </w:t>
      </w:r>
    </w:p>
    <w:p w14:paraId="55F67796" w14:textId="77777777" w:rsidR="001B5F43" w:rsidRDefault="00851FD6">
      <w:pPr>
        <w:ind w:left="-5"/>
      </w:pPr>
      <w:r>
        <w:t>2.2.</w:t>
      </w:r>
      <w:r>
        <w:rPr>
          <w:rFonts w:ascii="Times New Roman" w:eastAsia="Times New Roman" w:hAnsi="Times New Roman" w:cs="Times New Roman"/>
          <w:sz w:val="24"/>
        </w:rPr>
        <w:t xml:space="preserve"> </w:t>
      </w:r>
      <w:r>
        <w:t xml:space="preserve">Intressi arvestatakse lepingus märgitud hoiusummalt vastavalt kokkulepitud intressimäärale, kui hoiusumma on kogu kokkulepitud perioodi jooksul olnud HLÜ käsutuses. </w:t>
      </w:r>
    </w:p>
    <w:p w14:paraId="6B568D88" w14:textId="77777777" w:rsidR="001B5F43" w:rsidRDefault="00851FD6">
      <w:pPr>
        <w:spacing w:after="0" w:line="259" w:lineRule="auto"/>
        <w:ind w:left="427" w:firstLine="0"/>
        <w:jc w:val="left"/>
      </w:pPr>
      <w:r>
        <w:t xml:space="preserve"> </w:t>
      </w:r>
    </w:p>
    <w:p w14:paraId="728084A7" w14:textId="77777777" w:rsidR="001B5F43" w:rsidRDefault="00851FD6">
      <w:pPr>
        <w:ind w:left="-5"/>
      </w:pPr>
      <w:r>
        <w:t xml:space="preserve">2.3. Lepingus märgitud hoiuperioodi alguskuupäev on tinglik. Tegelik hoiuperioodi alguskuupäev  on päev, mil HLÜ pangakontole laekub lepingus märgitud hoiusumma.  </w:t>
      </w:r>
    </w:p>
    <w:p w14:paraId="476DEA63" w14:textId="77777777" w:rsidR="001B5F43" w:rsidRDefault="00851FD6">
      <w:pPr>
        <w:spacing w:after="0" w:line="259" w:lineRule="auto"/>
        <w:ind w:left="0" w:firstLine="0"/>
        <w:jc w:val="left"/>
      </w:pPr>
      <w:r>
        <w:t xml:space="preserve"> </w:t>
      </w:r>
    </w:p>
    <w:p w14:paraId="5EC5AB35" w14:textId="77777777" w:rsidR="001B5F43" w:rsidRDefault="00851FD6">
      <w:pPr>
        <w:ind w:left="-5"/>
      </w:pPr>
      <w:r>
        <w:t xml:space="preserve">2.4. Lepingus märgitud hoiuperioodi lõppkuupäev on tinglik ja muutub hoiuperioodi alguskuupäeva muutumisel, tagades lepingus märgitud hoiuseperioodi pikkuse päevades.  </w:t>
      </w:r>
    </w:p>
    <w:p w14:paraId="604608E3" w14:textId="77777777" w:rsidR="001B5F43" w:rsidRDefault="00851FD6">
      <w:pPr>
        <w:spacing w:after="0" w:line="259" w:lineRule="auto"/>
        <w:ind w:left="0" w:firstLine="0"/>
        <w:jc w:val="left"/>
      </w:pPr>
      <w:r>
        <w:t xml:space="preserve"> </w:t>
      </w:r>
    </w:p>
    <w:p w14:paraId="79CFD73C" w14:textId="77777777" w:rsidR="001B5F43" w:rsidRDefault="00851FD6">
      <w:pPr>
        <w:ind w:left="-5"/>
      </w:pPr>
      <w:r>
        <w:t xml:space="preserve">2.5. Intressi arvestamisel hoiusummalt lähtub HLÜ 365 päevasest aastast, tegelikust päevade arvust kuus, intressimäärast ja hoiusummast. HLÜ arvestab hoiusummalt intressi alates hoiuperioodi tegelikust alguskuupäevast kuni hoiuperioodi tegeliku lõppkuupäevani (välja arvatud).  </w:t>
      </w:r>
    </w:p>
    <w:p w14:paraId="358112C8" w14:textId="77777777" w:rsidR="001B5F43" w:rsidRDefault="00851FD6">
      <w:pPr>
        <w:spacing w:after="0" w:line="259" w:lineRule="auto"/>
        <w:ind w:left="0" w:firstLine="0"/>
        <w:jc w:val="left"/>
      </w:pPr>
      <w:r>
        <w:t xml:space="preserve"> </w:t>
      </w:r>
    </w:p>
    <w:p w14:paraId="33BA5168" w14:textId="77777777" w:rsidR="001B5F43" w:rsidRDefault="00851FD6">
      <w:pPr>
        <w:ind w:left="-5"/>
      </w:pPr>
      <w:r>
        <w:t xml:space="preserve">2.6. Lepingus märgitud arvestuslik intress ja arvestuslik netointress on näitlikud, esialgsete hoiustamise tingimuste (hoiusumma, intressimäär, hoiuperiood) ja kehtiva tulumaksumäära põhjal arvutatud summad, mis muutuvad hoiustamise tingimuste ja/või tulumaksumäära muutumisel. </w:t>
      </w:r>
    </w:p>
    <w:p w14:paraId="0DD1D8F4" w14:textId="77777777" w:rsidR="001B5F43" w:rsidRDefault="00851FD6">
      <w:pPr>
        <w:spacing w:after="0" w:line="259" w:lineRule="auto"/>
        <w:ind w:left="0" w:firstLine="0"/>
        <w:jc w:val="left"/>
      </w:pPr>
      <w:r>
        <w:t xml:space="preserve"> </w:t>
      </w:r>
    </w:p>
    <w:p w14:paraId="467CB7C5" w14:textId="77777777" w:rsidR="001B5F43" w:rsidRDefault="00851FD6">
      <w:pPr>
        <w:ind w:left="-5"/>
      </w:pPr>
      <w:r>
        <w:lastRenderedPageBreak/>
        <w:t xml:space="preserve">2.7. Hoiuperioodi viimasel päeval kannab HLÜ hoiusumma ja sellelt arvestatud netointressi liikme poolt esitatud  kontole. Lepingu pikenemise korral vastavalt punktis 3 sätestatule hoiusummat liikme kontole ei kanta.  </w:t>
      </w:r>
    </w:p>
    <w:p w14:paraId="39A2E412" w14:textId="77777777" w:rsidR="001B5F43" w:rsidRDefault="00851FD6">
      <w:pPr>
        <w:spacing w:after="0" w:line="259" w:lineRule="auto"/>
        <w:ind w:left="0" w:firstLine="0"/>
        <w:jc w:val="left"/>
      </w:pPr>
      <w:r>
        <w:t xml:space="preserve"> </w:t>
      </w:r>
    </w:p>
    <w:p w14:paraId="391468C5" w14:textId="77777777" w:rsidR="001B5F43" w:rsidRDefault="00851FD6">
      <w:pPr>
        <w:ind w:left="-5"/>
      </w:pPr>
      <w:r>
        <w:t xml:space="preserve">2.8. Liige ei saa hoiuperioodi kehtivuse ajal teha hoiusele sissemakseid ega hoiuselt väljamakseid. </w:t>
      </w:r>
    </w:p>
    <w:p w14:paraId="5F042C6D" w14:textId="77777777" w:rsidR="001B5F43" w:rsidRDefault="00851FD6">
      <w:pPr>
        <w:spacing w:after="0" w:line="259" w:lineRule="auto"/>
        <w:ind w:left="0" w:firstLine="0"/>
        <w:jc w:val="left"/>
      </w:pPr>
      <w:r>
        <w:t xml:space="preserve"> </w:t>
      </w:r>
    </w:p>
    <w:p w14:paraId="3E2929CA" w14:textId="77777777" w:rsidR="001B5F43" w:rsidRDefault="00851FD6">
      <w:pPr>
        <w:ind w:left="-5"/>
      </w:pPr>
      <w:r>
        <w:t xml:space="preserve">2.9. Hoiustatav minimaalne summa on 100 eurot. </w:t>
      </w:r>
    </w:p>
    <w:p w14:paraId="4C34FC34" w14:textId="77777777" w:rsidR="001B5F43" w:rsidRDefault="00851FD6">
      <w:pPr>
        <w:spacing w:after="0" w:line="259" w:lineRule="auto"/>
        <w:ind w:left="0" w:firstLine="0"/>
        <w:jc w:val="left"/>
      </w:pPr>
      <w:r>
        <w:t xml:space="preserve"> </w:t>
      </w:r>
    </w:p>
    <w:p w14:paraId="27BC3E38" w14:textId="77777777" w:rsidR="001B5F43" w:rsidRDefault="00851FD6">
      <w:pPr>
        <w:ind w:left="-5"/>
      </w:pPr>
      <w:r>
        <w:t xml:space="preserve">2.10. Liige annab </w:t>
      </w:r>
      <w:proofErr w:type="spellStart"/>
      <w:r>
        <w:t>HLÜ-le</w:t>
      </w:r>
      <w:proofErr w:type="spellEnd"/>
      <w:r>
        <w:t xml:space="preserve"> õiguse tasaarvestada muudest HLÜ ja liikme vahel sõlmitud lepingutest tulenevad HLÜ sissenõutavaks muutunud nõuded liikme vastu käesoleva hoiulepingu hoiusummaga. </w:t>
      </w:r>
    </w:p>
    <w:p w14:paraId="7BABB053" w14:textId="77777777" w:rsidR="001B5F43" w:rsidRDefault="00851FD6">
      <w:pPr>
        <w:spacing w:after="0" w:line="259" w:lineRule="auto"/>
        <w:ind w:left="0" w:firstLine="0"/>
        <w:jc w:val="left"/>
      </w:pPr>
      <w:r>
        <w:t xml:space="preserve"> </w:t>
      </w:r>
    </w:p>
    <w:p w14:paraId="04985305" w14:textId="77777777" w:rsidR="001B5F43" w:rsidRDefault="00851FD6">
      <w:pPr>
        <w:pStyle w:val="Heading1"/>
        <w:ind w:left="205" w:hanging="220"/>
      </w:pPr>
      <w:r>
        <w:t xml:space="preserve">LEPINGU PIKENEMINE  </w:t>
      </w:r>
    </w:p>
    <w:p w14:paraId="62B5ABD3" w14:textId="77777777" w:rsidR="001B5F43" w:rsidRDefault="00851FD6">
      <w:pPr>
        <w:spacing w:after="0" w:line="259" w:lineRule="auto"/>
        <w:ind w:left="427" w:firstLine="0"/>
        <w:jc w:val="left"/>
      </w:pPr>
      <w:r>
        <w:t xml:space="preserve"> </w:t>
      </w:r>
    </w:p>
    <w:p w14:paraId="6E8DA2A7" w14:textId="77777777" w:rsidR="001B5F43" w:rsidRDefault="00851FD6">
      <w:pPr>
        <w:ind w:left="-5"/>
      </w:pPr>
      <w:r>
        <w:t xml:space="preserve">3.1. Pooled võivad kokku leppida lepingu automaatses pikenemises. Sellisel juhul on lepingu automaatse pikenemise kohta lepingus vastav märge. Lepingus on märge ka selle kohta, kas HLÜ kannab eelneva hoiuperioodi eest arvestatud intressi liikme poolt määratud kontole või lisab hoiusummale. </w:t>
      </w:r>
    </w:p>
    <w:p w14:paraId="4AA5DB2D" w14:textId="77777777" w:rsidR="001B5F43" w:rsidRDefault="00851FD6">
      <w:pPr>
        <w:spacing w:after="0" w:line="259" w:lineRule="auto"/>
        <w:ind w:left="0" w:firstLine="0"/>
        <w:jc w:val="left"/>
      </w:pPr>
      <w:r>
        <w:t xml:space="preserve"> </w:t>
      </w:r>
    </w:p>
    <w:p w14:paraId="57D62696" w14:textId="77777777" w:rsidR="001B5F43" w:rsidRDefault="00851FD6">
      <w:pPr>
        <w:ind w:left="-5"/>
      </w:pPr>
      <w:r>
        <w:t xml:space="preserve">3.2. Pooled võivad kokku leppida lepingu automaatses pikenemises ka lepingu lõppedes. Sellest teavitab liige HLÜ-d kirjalikult või digitaalselt allkirjastatud avalduse vormis üldtingimustes sätestatud korras 14 päeva enne lepingu lõppemist. Teavituses märgib liige, kas HLÜ kannab eelneva hoiuperioodi eest arvestatud intressi liikme poolt määratud kontole või lisab hoiusummale. </w:t>
      </w:r>
    </w:p>
    <w:p w14:paraId="4D932F25" w14:textId="77777777" w:rsidR="001B5F43" w:rsidRDefault="00851FD6">
      <w:pPr>
        <w:spacing w:after="0" w:line="259" w:lineRule="auto"/>
        <w:ind w:left="0" w:firstLine="0"/>
        <w:jc w:val="left"/>
      </w:pPr>
      <w:r>
        <w:t xml:space="preserve"> </w:t>
      </w:r>
    </w:p>
    <w:p w14:paraId="22847270" w14:textId="77777777" w:rsidR="001B5F43" w:rsidRDefault="00851FD6">
      <w:pPr>
        <w:ind w:left="-5"/>
      </w:pPr>
      <w:r>
        <w:t xml:space="preserve">3.3. Lepingu pikenemise korral kohaldatakse uuele hoiuperioodile võimalusel varasemalt kehtinud intressimäära, võttes arvesse HLÜ poolt uue hoiuseperioodi alguse hetkel kehtestatud intressi piirmäärasid. </w:t>
      </w:r>
    </w:p>
    <w:p w14:paraId="4E26FDEA" w14:textId="77777777" w:rsidR="001B5F43" w:rsidRDefault="00851FD6">
      <w:pPr>
        <w:spacing w:after="0" w:line="259" w:lineRule="auto"/>
        <w:ind w:left="0" w:firstLine="0"/>
        <w:jc w:val="left"/>
      </w:pPr>
      <w:r>
        <w:t xml:space="preserve"> </w:t>
      </w:r>
    </w:p>
    <w:p w14:paraId="48E7E1EF" w14:textId="77777777" w:rsidR="001B5F43" w:rsidRDefault="00851FD6">
      <w:pPr>
        <w:spacing w:after="0" w:line="259" w:lineRule="auto"/>
        <w:ind w:left="0" w:firstLine="0"/>
        <w:jc w:val="left"/>
      </w:pPr>
      <w:r>
        <w:t xml:space="preserve"> </w:t>
      </w:r>
    </w:p>
    <w:p w14:paraId="02D36532" w14:textId="77777777" w:rsidR="001B5F43" w:rsidRDefault="00851FD6">
      <w:pPr>
        <w:pStyle w:val="Heading1"/>
        <w:ind w:left="205" w:hanging="220"/>
      </w:pPr>
      <w:r>
        <w:t xml:space="preserve">TINGIMUSTE MUUTMINE </w:t>
      </w:r>
      <w:r>
        <w:rPr>
          <w:b w:val="0"/>
        </w:rPr>
        <w:t xml:space="preserve"> </w:t>
      </w:r>
    </w:p>
    <w:p w14:paraId="02DDDAB4" w14:textId="77777777" w:rsidR="001B5F43" w:rsidRDefault="00851FD6">
      <w:pPr>
        <w:spacing w:after="0" w:line="259" w:lineRule="auto"/>
        <w:ind w:left="0" w:firstLine="0"/>
        <w:jc w:val="left"/>
      </w:pPr>
      <w:r>
        <w:t xml:space="preserve"> </w:t>
      </w:r>
    </w:p>
    <w:p w14:paraId="141BCCF7" w14:textId="77777777" w:rsidR="001B5F43" w:rsidRDefault="00851FD6">
      <w:pPr>
        <w:ind w:left="-5"/>
      </w:pPr>
      <w:r>
        <w:t xml:space="preserve">4.1. </w:t>
      </w:r>
      <w:proofErr w:type="spellStart"/>
      <w:r>
        <w:t>HLÜ-l</w:t>
      </w:r>
      <w:proofErr w:type="spellEnd"/>
      <w:r>
        <w:t xml:space="preserve"> on õigus ühepoolselt muuta lepingu tingimusi, teatades sellest liikmele enne muudatuste jõustumist HLÜ üldtingimustes sätestatud tähtaegadel ja viisil.  </w:t>
      </w:r>
    </w:p>
    <w:p w14:paraId="0992D23B" w14:textId="77777777" w:rsidR="001B5F43" w:rsidRDefault="00851FD6">
      <w:pPr>
        <w:spacing w:after="0" w:line="259" w:lineRule="auto"/>
        <w:ind w:left="0" w:firstLine="0"/>
        <w:jc w:val="left"/>
      </w:pPr>
      <w:r>
        <w:t xml:space="preserve"> </w:t>
      </w:r>
    </w:p>
    <w:p w14:paraId="6097DD9E" w14:textId="77777777" w:rsidR="001B5F43" w:rsidRDefault="00851FD6">
      <w:pPr>
        <w:ind w:left="-5"/>
      </w:pPr>
      <w:r>
        <w:t xml:space="preserve">4.2. Muudatustega mittenõustumisel on liikmel õigus leping üles öelda. Sellisel juhul maksab HLÜ liikmele intressi kuni lepingu lõpetamiseni. Kui liige ei ole etteteatamistähtaja jooksul lepingut üles öelnud, loetakse, et ta on muudatusega nõustunud. </w:t>
      </w:r>
    </w:p>
    <w:p w14:paraId="3D1DE948" w14:textId="77777777" w:rsidR="001B5F43" w:rsidRDefault="00851FD6">
      <w:pPr>
        <w:spacing w:after="0" w:line="259" w:lineRule="auto"/>
        <w:ind w:left="0" w:firstLine="0"/>
        <w:jc w:val="left"/>
      </w:pPr>
      <w:r>
        <w:t xml:space="preserve"> </w:t>
      </w:r>
    </w:p>
    <w:p w14:paraId="3F8B5296" w14:textId="77777777" w:rsidR="001B5F43" w:rsidRDefault="00851FD6">
      <w:pPr>
        <w:spacing w:after="0" w:line="259" w:lineRule="auto"/>
        <w:ind w:left="0" w:firstLine="0"/>
        <w:jc w:val="left"/>
      </w:pPr>
      <w:r>
        <w:rPr>
          <w:b/>
        </w:rPr>
        <w:t xml:space="preserve"> </w:t>
      </w:r>
    </w:p>
    <w:p w14:paraId="5EEC1FC1" w14:textId="77777777" w:rsidR="001B5F43" w:rsidRDefault="00851FD6">
      <w:pPr>
        <w:pStyle w:val="Heading1"/>
        <w:ind w:left="205" w:hanging="220"/>
      </w:pPr>
      <w:r>
        <w:t xml:space="preserve">LEPINGU KEHTIVUS JA LÕPPEMINE </w:t>
      </w:r>
      <w:r>
        <w:rPr>
          <w:b w:val="0"/>
        </w:rPr>
        <w:t xml:space="preserve"> </w:t>
      </w:r>
    </w:p>
    <w:p w14:paraId="238B1218" w14:textId="77777777" w:rsidR="001B5F43" w:rsidRDefault="00851FD6">
      <w:pPr>
        <w:spacing w:after="0" w:line="259" w:lineRule="auto"/>
        <w:ind w:left="0" w:firstLine="0"/>
        <w:jc w:val="left"/>
      </w:pPr>
      <w:r>
        <w:t xml:space="preserve"> </w:t>
      </w:r>
    </w:p>
    <w:p w14:paraId="2941FA89" w14:textId="77777777" w:rsidR="001B5F43" w:rsidRDefault="00851FD6">
      <w:pPr>
        <w:ind w:left="-5"/>
      </w:pPr>
      <w:r>
        <w:t xml:space="preserve">5.1. Leping jõustub selle allakirjutamise hetkel ja on sõlmitud lepingus toodud tähtajaks.  </w:t>
      </w:r>
    </w:p>
    <w:p w14:paraId="63352F1C" w14:textId="77777777" w:rsidR="001B5F43" w:rsidRDefault="00851FD6">
      <w:pPr>
        <w:spacing w:after="0" w:line="259" w:lineRule="auto"/>
        <w:ind w:left="0" w:firstLine="0"/>
        <w:jc w:val="left"/>
      </w:pPr>
      <w:r>
        <w:t xml:space="preserve"> </w:t>
      </w:r>
    </w:p>
    <w:p w14:paraId="0A5D411B" w14:textId="77777777" w:rsidR="001B5F43" w:rsidRDefault="00851FD6">
      <w:pPr>
        <w:ind w:left="-5"/>
      </w:pPr>
      <w:r>
        <w:t xml:space="preserve">5.2. Leping lõpeb hoiuperioodi viimasel päeval, välja arvatud juhul, kui leping pikeneb vastavalt tingimuste punktile 3 või lõpetatakse vastavalt tingimuste punktidele 4.2, 5.3, 5.4, 5.5 ja 5.6.  </w:t>
      </w:r>
    </w:p>
    <w:p w14:paraId="36976CEB" w14:textId="77777777" w:rsidR="001B5F43" w:rsidRDefault="00851FD6">
      <w:pPr>
        <w:spacing w:after="0" w:line="259" w:lineRule="auto"/>
        <w:ind w:left="0" w:firstLine="0"/>
        <w:jc w:val="left"/>
      </w:pPr>
      <w:r>
        <w:t xml:space="preserve"> </w:t>
      </w:r>
    </w:p>
    <w:p w14:paraId="6A3A517B" w14:textId="77777777" w:rsidR="001B5F43" w:rsidRDefault="00851FD6">
      <w:pPr>
        <w:ind w:left="-5"/>
      </w:pPr>
      <w:r>
        <w:t xml:space="preserve">5.3. Füüsilisest isikust liige võib taganeda lepingust 14 kalendripäeva jooksul alates lepingu jõustumise päevast, teatades sellest </w:t>
      </w:r>
      <w:proofErr w:type="spellStart"/>
      <w:r>
        <w:t>HLÜ-le</w:t>
      </w:r>
      <w:proofErr w:type="spellEnd"/>
      <w:r>
        <w:t xml:space="preserve"> kirjalikult või digitaalselt allkirjastatud avalduse vormis üldtingimustes </w:t>
      </w:r>
      <w:r>
        <w:lastRenderedPageBreak/>
        <w:t xml:space="preserve">sätestatud korras. Lepingust taganemise korral tagastavad HLÜ ja liige rahalised ning muud vahendid, mis on teiselt osapoolelt lepingust tuleneva teenuse kasutamiseks saadud viivitamata, kuid mitte hiljem kui 30 kalendripäeva möödumisel taganemisavalduse tegemisest. Tasulise teenuse puhul on </w:t>
      </w:r>
      <w:proofErr w:type="spellStart"/>
      <w:r>
        <w:t>HLÜ-l</w:t>
      </w:r>
      <w:proofErr w:type="spellEnd"/>
      <w:r>
        <w:t xml:space="preserve"> õigus arvestada osutatud teenuse eest hinnakirja kohaselt teenustasu. Taganemisõiguse tähtaegselt teostamata jätmise korral kliendi taganemisõigus lõpeb.  </w:t>
      </w:r>
    </w:p>
    <w:p w14:paraId="5A54BAEB" w14:textId="77777777" w:rsidR="001B5F43" w:rsidRDefault="00851FD6">
      <w:pPr>
        <w:spacing w:after="0" w:line="259" w:lineRule="auto"/>
        <w:ind w:left="0" w:firstLine="0"/>
        <w:jc w:val="left"/>
      </w:pPr>
      <w:r>
        <w:t xml:space="preserve"> </w:t>
      </w:r>
    </w:p>
    <w:p w14:paraId="7F939E09" w14:textId="77777777" w:rsidR="001B5F43" w:rsidRDefault="00851FD6">
      <w:pPr>
        <w:ind w:left="-5"/>
      </w:pPr>
      <w:r>
        <w:t xml:space="preserve">5.4. Kui 15 kalendripäeva jooksul alates lepingus märgitud hoiuperioodi alguse kuupäevast ei ole kogu hoiusumma HLÜ pangakontole laekunud, lõpetab HLÜ lepingu ja kannab laekunud summa tagasi liikme arvelduskontole. </w:t>
      </w:r>
    </w:p>
    <w:p w14:paraId="5D22C936" w14:textId="77777777" w:rsidR="001B5F43" w:rsidRDefault="00851FD6">
      <w:pPr>
        <w:spacing w:after="0" w:line="259" w:lineRule="auto"/>
        <w:ind w:left="427" w:firstLine="0"/>
        <w:jc w:val="left"/>
      </w:pPr>
      <w:r>
        <w:t xml:space="preserve"> </w:t>
      </w:r>
    </w:p>
    <w:p w14:paraId="1A8E05E5" w14:textId="77777777" w:rsidR="001B5F43" w:rsidRDefault="00851FD6">
      <w:pPr>
        <w:ind w:left="-5"/>
      </w:pPr>
      <w:r>
        <w:t xml:space="preserve">5.5. </w:t>
      </w:r>
      <w:proofErr w:type="spellStart"/>
      <w:r>
        <w:t>HLÜ-l</w:t>
      </w:r>
      <w:proofErr w:type="spellEnd"/>
      <w:r>
        <w:t xml:space="preserve"> on õigus leping ennetähtaegselt lõpetada seadusest tulenevatel või HLÜ üldtingimustes toodud alustel. Sellisel juhul maksab HLÜ liikmele intressi kuni lepingu lõpetamiseni.  </w:t>
      </w:r>
    </w:p>
    <w:p w14:paraId="5584DD89" w14:textId="77777777" w:rsidR="001B5F43" w:rsidRDefault="00851FD6">
      <w:pPr>
        <w:spacing w:after="0" w:line="259" w:lineRule="auto"/>
        <w:ind w:left="0" w:firstLine="0"/>
        <w:jc w:val="left"/>
      </w:pPr>
      <w:r>
        <w:t xml:space="preserve"> </w:t>
      </w:r>
    </w:p>
    <w:p w14:paraId="6533A536" w14:textId="77777777" w:rsidR="001B5F43" w:rsidRDefault="00851FD6">
      <w:pPr>
        <w:ind w:left="-5"/>
      </w:pPr>
      <w:r>
        <w:t xml:space="preserve">5.6. Liikmel on võimalus avaldada soovi lepingu ennetähtaegseks lõpetamiseks, esitades </w:t>
      </w:r>
      <w:proofErr w:type="spellStart"/>
      <w:r>
        <w:t>HLÜ-le</w:t>
      </w:r>
      <w:proofErr w:type="spellEnd"/>
      <w:r>
        <w:t xml:space="preserve"> avalduse tähtajalise hoiuse lepingu ennetähtaegseks lõpetamiseks. Avaldus vaadatakse läbi HLÜ poolt ja edastatakse liikmele otsus kirjalikus vormis üldtingimustes sätestatud korras 30 päeva jooksul. HLÜ ei ole kohustatud lepingut ennetähtaegselt lõpetama. Samuti võib otsus kajastada ennetähtaegset lõpetamist liikme avalduses märgitud tingimustest erinevatel tingimustel. Kui liige ei nõustu HLÜ otsusega, kehtib leping esialgselt kokkulepitud tingimustel. Liikme soovil lepingu ennetähtaegsel lõpetamisel ei ole HLÜ kohustatud liikmele jooksva hoiuperioodi eest intressi maksma.</w:t>
      </w:r>
      <w:r>
        <w:rPr>
          <w:color w:val="FF0101"/>
        </w:rPr>
        <w:t xml:space="preserve"> </w:t>
      </w:r>
    </w:p>
    <w:p w14:paraId="0955FDA9" w14:textId="77777777" w:rsidR="001B5F43" w:rsidRDefault="00851FD6">
      <w:pPr>
        <w:spacing w:after="0" w:line="259" w:lineRule="auto"/>
        <w:ind w:left="0" w:firstLine="0"/>
        <w:jc w:val="left"/>
      </w:pPr>
      <w:r>
        <w:t xml:space="preserve"> </w:t>
      </w:r>
    </w:p>
    <w:sectPr w:rsidR="001B5F43">
      <w:headerReference w:type="even" r:id="rId7"/>
      <w:headerReference w:type="default" r:id="rId8"/>
      <w:footerReference w:type="even" r:id="rId9"/>
      <w:footerReference w:type="default" r:id="rId10"/>
      <w:headerReference w:type="first" r:id="rId11"/>
      <w:footerReference w:type="first" r:id="rId12"/>
      <w:pgSz w:w="11906" w:h="16838"/>
      <w:pgMar w:top="1613" w:right="1411" w:bottom="1446" w:left="1416" w:header="43" w:footer="2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B650" w14:textId="77777777" w:rsidR="00E72C3C" w:rsidRDefault="00E72C3C">
      <w:pPr>
        <w:spacing w:after="0" w:line="240" w:lineRule="auto"/>
      </w:pPr>
      <w:r>
        <w:separator/>
      </w:r>
    </w:p>
  </w:endnote>
  <w:endnote w:type="continuationSeparator" w:id="0">
    <w:p w14:paraId="3853C90B" w14:textId="77777777" w:rsidR="00E72C3C" w:rsidRDefault="00E7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2243" w14:textId="77777777" w:rsidR="001B5F43" w:rsidRDefault="00851FD6">
    <w:pPr>
      <w:spacing w:after="10" w:line="259" w:lineRule="auto"/>
      <w:ind w:left="-6" w:right="-35" w:firstLine="0"/>
      <w:jc w:val="left"/>
    </w:pPr>
    <w:r>
      <w:rPr>
        <w:noProof/>
      </w:rPr>
      <mc:AlternateContent>
        <mc:Choice Requires="wpg">
          <w:drawing>
            <wp:anchor distT="0" distB="0" distL="114300" distR="114300" simplePos="0" relativeHeight="251661312" behindDoc="0" locked="0" layoutInCell="1" allowOverlap="1" wp14:anchorId="3E555AB9" wp14:editId="6B865155">
              <wp:simplePos x="0" y="0"/>
              <wp:positionH relativeFrom="page">
                <wp:posOffset>895350</wp:posOffset>
              </wp:positionH>
              <wp:positionV relativeFrom="page">
                <wp:posOffset>9901555</wp:posOffset>
              </wp:positionV>
              <wp:extent cx="5791200" cy="12600"/>
              <wp:effectExtent l="0" t="0" r="0" b="0"/>
              <wp:wrapSquare wrapText="bothSides"/>
              <wp:docPr id="4418" name="Group 4418"/>
              <wp:cNvGraphicFramePr/>
              <a:graphic xmlns:a="http://schemas.openxmlformats.org/drawingml/2006/main">
                <a:graphicData uri="http://schemas.microsoft.com/office/word/2010/wordprocessingGroup">
                  <wpg:wgp>
                    <wpg:cNvGrpSpPr/>
                    <wpg:grpSpPr>
                      <a:xfrm>
                        <a:off x="0" y="0"/>
                        <a:ext cx="5791200" cy="12600"/>
                        <a:chOff x="0" y="0"/>
                        <a:chExt cx="5791200" cy="12600"/>
                      </a:xfrm>
                    </wpg:grpSpPr>
                    <wps:wsp>
                      <wps:cNvPr id="4419" name="Shape 4419"/>
                      <wps:cNvSpPr/>
                      <wps:spPr>
                        <a:xfrm>
                          <a:off x="0" y="0"/>
                          <a:ext cx="5791200" cy="0"/>
                        </a:xfrm>
                        <a:custGeom>
                          <a:avLst/>
                          <a:gdLst/>
                          <a:ahLst/>
                          <a:cxnLst/>
                          <a:rect l="0" t="0" r="0" b="0"/>
                          <a:pathLst>
                            <a:path w="5791200">
                              <a:moveTo>
                                <a:pt x="0" y="0"/>
                              </a:moveTo>
                              <a:lnTo>
                                <a:pt x="5791200" y="0"/>
                              </a:lnTo>
                            </a:path>
                          </a:pathLst>
                        </a:custGeom>
                        <a:ln w="12600" cap="rnd">
                          <a:round/>
                        </a:ln>
                      </wps:spPr>
                      <wps:style>
                        <a:lnRef idx="1">
                          <a:srgbClr val="95B3D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18" style="width:456pt;height:0.99213pt;position:absolute;mso-position-horizontal-relative:page;mso-position-horizontal:absolute;margin-left:70.5pt;mso-position-vertical-relative:page;margin-top:779.65pt;" coordsize="57912,126">
              <v:shape id="Shape 4419" style="position:absolute;width:57912;height:0;left:0;top:0;" coordsize="5791200,0" path="m0,0l5791200,0">
                <v:stroke weight="0.99213pt" endcap="round" joinstyle="round" on="true" color="#95b3d7"/>
                <v:fill on="false" color="#000000" opacity="0"/>
              </v:shape>
              <w10:wrap type="square"/>
            </v:group>
          </w:pict>
        </mc:Fallback>
      </mc:AlternateContent>
    </w:r>
    <w:r>
      <w:rPr>
        <w:b/>
        <w:sz w:val="20"/>
      </w:rPr>
      <w:t xml:space="preserve"> </w:t>
    </w:r>
  </w:p>
  <w:p w14:paraId="375F3B08" w14:textId="77010CA4" w:rsidR="001B5F43" w:rsidRDefault="00851FD6">
    <w:pPr>
      <w:spacing w:after="0" w:line="259" w:lineRule="auto"/>
      <w:ind w:left="2" w:firstLine="0"/>
      <w:jc w:val="left"/>
    </w:pPr>
    <w:r>
      <w:rPr>
        <w:b/>
        <w:sz w:val="20"/>
      </w:rPr>
      <w:t xml:space="preserve">Hea Koostöö Hoiu-laenuühistu </w:t>
    </w:r>
    <w:r>
      <w:rPr>
        <w:rFonts w:ascii="Arial" w:eastAsia="Arial" w:hAnsi="Arial" w:cs="Arial"/>
        <w:b/>
        <w:sz w:val="20"/>
      </w:rPr>
      <w:t xml:space="preserve">• </w:t>
    </w:r>
    <w:r>
      <w:rPr>
        <w:b/>
        <w:sz w:val="20"/>
      </w:rPr>
      <w:t>Registrikood: 12938421</w:t>
    </w:r>
    <w:r>
      <w:rPr>
        <w:rFonts w:ascii="Arial" w:eastAsia="Arial" w:hAnsi="Arial" w:cs="Arial"/>
        <w:b/>
        <w:sz w:val="20"/>
      </w:rPr>
      <w:t xml:space="preserve"> • </w:t>
    </w:r>
    <w:r w:rsidR="00AD13C9">
      <w:rPr>
        <w:b/>
        <w:sz w:val="20"/>
      </w:rPr>
      <w:t>Ädala</w:t>
    </w:r>
    <w:r>
      <w:rPr>
        <w:b/>
        <w:sz w:val="20"/>
      </w:rPr>
      <w:t xml:space="preserve"> 6-7, 10415 Tallinn </w:t>
    </w:r>
    <w:r>
      <w:rPr>
        <w:rFonts w:ascii="Arial" w:eastAsia="Arial" w:hAnsi="Arial" w:cs="Arial"/>
        <w:b/>
        <w:sz w:val="20"/>
      </w:rPr>
      <w:t>•</w:t>
    </w:r>
    <w:r>
      <w:rPr>
        <w:b/>
        <w:sz w:val="20"/>
      </w:rPr>
      <w:t xml:space="preserve"> info@heapank.ee </w:t>
    </w:r>
  </w:p>
  <w:p w14:paraId="5B6881D0" w14:textId="77777777" w:rsidR="001B5F43" w:rsidRDefault="00851FD6">
    <w:pPr>
      <w:spacing w:after="21" w:line="259" w:lineRule="auto"/>
      <w:ind w:left="2" w:firstLine="0"/>
      <w:jc w:val="left"/>
    </w:pPr>
    <w:r>
      <w:rPr>
        <w:b/>
        <w:sz w:val="20"/>
      </w:rPr>
      <w:t xml:space="preserve"> </w:t>
    </w:r>
  </w:p>
  <w:p w14:paraId="5348F595" w14:textId="77777777" w:rsidR="001B5F43" w:rsidRDefault="00851FD6">
    <w:pPr>
      <w:spacing w:after="0" w:line="259" w:lineRule="auto"/>
      <w:ind w:left="427"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3EC1" w14:textId="77777777" w:rsidR="001B5F43" w:rsidRDefault="00851FD6">
    <w:pPr>
      <w:spacing w:after="10" w:line="259" w:lineRule="auto"/>
      <w:ind w:left="-6" w:right="-35" w:firstLine="0"/>
      <w:jc w:val="left"/>
    </w:pPr>
    <w:r>
      <w:rPr>
        <w:noProof/>
      </w:rPr>
      <mc:AlternateContent>
        <mc:Choice Requires="wpg">
          <w:drawing>
            <wp:anchor distT="0" distB="0" distL="114300" distR="114300" simplePos="0" relativeHeight="251662336" behindDoc="0" locked="0" layoutInCell="1" allowOverlap="1" wp14:anchorId="1AEB19D3" wp14:editId="484A7584">
              <wp:simplePos x="0" y="0"/>
              <wp:positionH relativeFrom="page">
                <wp:posOffset>895350</wp:posOffset>
              </wp:positionH>
              <wp:positionV relativeFrom="page">
                <wp:posOffset>9901555</wp:posOffset>
              </wp:positionV>
              <wp:extent cx="5791200" cy="12600"/>
              <wp:effectExtent l="0" t="0" r="0" b="0"/>
              <wp:wrapSquare wrapText="bothSides"/>
              <wp:docPr id="4371" name="Group 4371"/>
              <wp:cNvGraphicFramePr/>
              <a:graphic xmlns:a="http://schemas.openxmlformats.org/drawingml/2006/main">
                <a:graphicData uri="http://schemas.microsoft.com/office/word/2010/wordprocessingGroup">
                  <wpg:wgp>
                    <wpg:cNvGrpSpPr/>
                    <wpg:grpSpPr>
                      <a:xfrm>
                        <a:off x="0" y="0"/>
                        <a:ext cx="5791200" cy="12600"/>
                        <a:chOff x="0" y="0"/>
                        <a:chExt cx="5791200" cy="12600"/>
                      </a:xfrm>
                    </wpg:grpSpPr>
                    <wps:wsp>
                      <wps:cNvPr id="4372" name="Shape 4372"/>
                      <wps:cNvSpPr/>
                      <wps:spPr>
                        <a:xfrm>
                          <a:off x="0" y="0"/>
                          <a:ext cx="5791200" cy="0"/>
                        </a:xfrm>
                        <a:custGeom>
                          <a:avLst/>
                          <a:gdLst/>
                          <a:ahLst/>
                          <a:cxnLst/>
                          <a:rect l="0" t="0" r="0" b="0"/>
                          <a:pathLst>
                            <a:path w="5791200">
                              <a:moveTo>
                                <a:pt x="0" y="0"/>
                              </a:moveTo>
                              <a:lnTo>
                                <a:pt x="5791200" y="0"/>
                              </a:lnTo>
                            </a:path>
                          </a:pathLst>
                        </a:custGeom>
                        <a:ln w="12600" cap="rnd">
                          <a:round/>
                        </a:ln>
                      </wps:spPr>
                      <wps:style>
                        <a:lnRef idx="1">
                          <a:srgbClr val="95B3D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71" style="width:456pt;height:0.99213pt;position:absolute;mso-position-horizontal-relative:page;mso-position-horizontal:absolute;margin-left:70.5pt;mso-position-vertical-relative:page;margin-top:779.65pt;" coordsize="57912,126">
              <v:shape id="Shape 4372" style="position:absolute;width:57912;height:0;left:0;top:0;" coordsize="5791200,0" path="m0,0l5791200,0">
                <v:stroke weight="0.99213pt" endcap="round" joinstyle="round" on="true" color="#95b3d7"/>
                <v:fill on="false" color="#000000" opacity="0"/>
              </v:shape>
              <w10:wrap type="square"/>
            </v:group>
          </w:pict>
        </mc:Fallback>
      </mc:AlternateContent>
    </w:r>
    <w:r>
      <w:rPr>
        <w:b/>
        <w:sz w:val="20"/>
      </w:rPr>
      <w:t xml:space="preserve"> </w:t>
    </w:r>
  </w:p>
  <w:p w14:paraId="22AF5386" w14:textId="14975F45" w:rsidR="001B5F43" w:rsidRDefault="00851FD6">
    <w:pPr>
      <w:spacing w:after="0" w:line="259" w:lineRule="auto"/>
      <w:ind w:left="2" w:firstLine="0"/>
      <w:jc w:val="left"/>
    </w:pPr>
    <w:r>
      <w:rPr>
        <w:b/>
        <w:sz w:val="20"/>
      </w:rPr>
      <w:t xml:space="preserve">Hea Koostöö Hoiu-laenuühistu </w:t>
    </w:r>
    <w:r>
      <w:rPr>
        <w:rFonts w:ascii="Arial" w:eastAsia="Arial" w:hAnsi="Arial" w:cs="Arial"/>
        <w:b/>
        <w:sz w:val="20"/>
      </w:rPr>
      <w:t xml:space="preserve">• </w:t>
    </w:r>
    <w:r>
      <w:rPr>
        <w:b/>
        <w:sz w:val="20"/>
      </w:rPr>
      <w:t>Registrikood: 12938421</w:t>
    </w:r>
    <w:r>
      <w:rPr>
        <w:rFonts w:ascii="Arial" w:eastAsia="Arial" w:hAnsi="Arial" w:cs="Arial"/>
        <w:b/>
        <w:sz w:val="20"/>
      </w:rPr>
      <w:t xml:space="preserve"> • </w:t>
    </w:r>
    <w:r w:rsidR="00AD13C9">
      <w:rPr>
        <w:b/>
        <w:sz w:val="20"/>
      </w:rPr>
      <w:t>Ädala</w:t>
    </w:r>
    <w:r>
      <w:rPr>
        <w:b/>
        <w:sz w:val="20"/>
      </w:rPr>
      <w:t xml:space="preserve"> </w:t>
    </w:r>
    <w:r w:rsidR="007957E5">
      <w:rPr>
        <w:b/>
        <w:sz w:val="20"/>
      </w:rPr>
      <w:t>5-34</w:t>
    </w:r>
    <w:r>
      <w:rPr>
        <w:b/>
        <w:sz w:val="20"/>
      </w:rPr>
      <w:t xml:space="preserve">, 10415 Tallinn </w:t>
    </w:r>
    <w:r>
      <w:rPr>
        <w:rFonts w:ascii="Arial" w:eastAsia="Arial" w:hAnsi="Arial" w:cs="Arial"/>
        <w:b/>
        <w:sz w:val="20"/>
      </w:rPr>
      <w:t>•</w:t>
    </w:r>
    <w:r>
      <w:rPr>
        <w:b/>
        <w:sz w:val="20"/>
      </w:rPr>
      <w:t xml:space="preserve"> </w:t>
    </w:r>
    <w:r>
      <w:rPr>
        <w:b/>
        <w:sz w:val="20"/>
      </w:rPr>
      <w:t>info@hea</w:t>
    </w:r>
    <w:r w:rsidR="002F3A21">
      <w:rPr>
        <w:b/>
        <w:sz w:val="20"/>
      </w:rPr>
      <w:t>koost</w:t>
    </w:r>
    <w:r w:rsidR="007957E5">
      <w:rPr>
        <w:b/>
        <w:sz w:val="20"/>
      </w:rPr>
      <w:t>oo</w:t>
    </w:r>
    <w:bookmarkStart w:id="0" w:name="_GoBack"/>
    <w:bookmarkEnd w:id="0"/>
    <w:r>
      <w:rPr>
        <w:b/>
        <w:sz w:val="20"/>
      </w:rPr>
      <w:t xml:space="preserve">.ee </w:t>
    </w:r>
  </w:p>
  <w:p w14:paraId="3B23F440" w14:textId="77777777" w:rsidR="001B5F43" w:rsidRDefault="00851FD6">
    <w:pPr>
      <w:spacing w:after="21" w:line="259" w:lineRule="auto"/>
      <w:ind w:left="2" w:firstLine="0"/>
      <w:jc w:val="left"/>
    </w:pPr>
    <w:r>
      <w:rPr>
        <w:b/>
        <w:sz w:val="20"/>
      </w:rPr>
      <w:t xml:space="preserve"> </w:t>
    </w:r>
  </w:p>
  <w:p w14:paraId="6D5E1A68" w14:textId="77777777" w:rsidR="001B5F43" w:rsidRDefault="00851FD6">
    <w:pPr>
      <w:spacing w:after="0" w:line="259" w:lineRule="auto"/>
      <w:ind w:left="427"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3DDB" w14:textId="77777777" w:rsidR="001B5F43" w:rsidRDefault="00851FD6">
    <w:pPr>
      <w:spacing w:after="10" w:line="259" w:lineRule="auto"/>
      <w:ind w:left="-6" w:right="-35" w:firstLine="0"/>
      <w:jc w:val="left"/>
    </w:pPr>
    <w:r>
      <w:rPr>
        <w:noProof/>
      </w:rPr>
      <mc:AlternateContent>
        <mc:Choice Requires="wpg">
          <w:drawing>
            <wp:anchor distT="0" distB="0" distL="114300" distR="114300" simplePos="0" relativeHeight="251663360" behindDoc="0" locked="0" layoutInCell="1" allowOverlap="1" wp14:anchorId="65A22E40" wp14:editId="19D52E5C">
              <wp:simplePos x="0" y="0"/>
              <wp:positionH relativeFrom="page">
                <wp:posOffset>895350</wp:posOffset>
              </wp:positionH>
              <wp:positionV relativeFrom="page">
                <wp:posOffset>9901555</wp:posOffset>
              </wp:positionV>
              <wp:extent cx="5791200" cy="12600"/>
              <wp:effectExtent l="0" t="0" r="0" b="0"/>
              <wp:wrapSquare wrapText="bothSides"/>
              <wp:docPr id="4324" name="Group 4324"/>
              <wp:cNvGraphicFramePr/>
              <a:graphic xmlns:a="http://schemas.openxmlformats.org/drawingml/2006/main">
                <a:graphicData uri="http://schemas.microsoft.com/office/word/2010/wordprocessingGroup">
                  <wpg:wgp>
                    <wpg:cNvGrpSpPr/>
                    <wpg:grpSpPr>
                      <a:xfrm>
                        <a:off x="0" y="0"/>
                        <a:ext cx="5791200" cy="12600"/>
                        <a:chOff x="0" y="0"/>
                        <a:chExt cx="5791200" cy="12600"/>
                      </a:xfrm>
                    </wpg:grpSpPr>
                    <wps:wsp>
                      <wps:cNvPr id="4325" name="Shape 4325"/>
                      <wps:cNvSpPr/>
                      <wps:spPr>
                        <a:xfrm>
                          <a:off x="0" y="0"/>
                          <a:ext cx="5791200" cy="0"/>
                        </a:xfrm>
                        <a:custGeom>
                          <a:avLst/>
                          <a:gdLst/>
                          <a:ahLst/>
                          <a:cxnLst/>
                          <a:rect l="0" t="0" r="0" b="0"/>
                          <a:pathLst>
                            <a:path w="5791200">
                              <a:moveTo>
                                <a:pt x="0" y="0"/>
                              </a:moveTo>
                              <a:lnTo>
                                <a:pt x="5791200" y="0"/>
                              </a:lnTo>
                            </a:path>
                          </a:pathLst>
                        </a:custGeom>
                        <a:ln w="12600" cap="rnd">
                          <a:round/>
                        </a:ln>
                      </wps:spPr>
                      <wps:style>
                        <a:lnRef idx="1">
                          <a:srgbClr val="95B3D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24" style="width:456pt;height:0.99213pt;position:absolute;mso-position-horizontal-relative:page;mso-position-horizontal:absolute;margin-left:70.5pt;mso-position-vertical-relative:page;margin-top:779.65pt;" coordsize="57912,126">
              <v:shape id="Shape 4325" style="position:absolute;width:57912;height:0;left:0;top:0;" coordsize="5791200,0" path="m0,0l5791200,0">
                <v:stroke weight="0.99213pt" endcap="round" joinstyle="round" on="true" color="#95b3d7"/>
                <v:fill on="false" color="#000000" opacity="0"/>
              </v:shape>
              <w10:wrap type="square"/>
            </v:group>
          </w:pict>
        </mc:Fallback>
      </mc:AlternateContent>
    </w:r>
    <w:r>
      <w:rPr>
        <w:b/>
        <w:sz w:val="20"/>
      </w:rPr>
      <w:t xml:space="preserve"> </w:t>
    </w:r>
  </w:p>
  <w:p w14:paraId="3D7AE9D4" w14:textId="77777777" w:rsidR="001B5F43" w:rsidRDefault="00851FD6">
    <w:pPr>
      <w:spacing w:after="0" w:line="259" w:lineRule="auto"/>
      <w:ind w:left="2" w:firstLine="0"/>
      <w:jc w:val="left"/>
    </w:pPr>
    <w:r>
      <w:rPr>
        <w:b/>
        <w:sz w:val="20"/>
      </w:rPr>
      <w:t xml:space="preserve">Hea Koostöö Hoiu-laenuühistu </w:t>
    </w:r>
    <w:r>
      <w:rPr>
        <w:rFonts w:ascii="Arial" w:eastAsia="Arial" w:hAnsi="Arial" w:cs="Arial"/>
        <w:b/>
        <w:sz w:val="20"/>
      </w:rPr>
      <w:t xml:space="preserve">• </w:t>
    </w:r>
    <w:r>
      <w:rPr>
        <w:b/>
        <w:sz w:val="20"/>
      </w:rPr>
      <w:t>Registrikood: 12938421</w:t>
    </w:r>
    <w:r>
      <w:rPr>
        <w:rFonts w:ascii="Arial" w:eastAsia="Arial" w:hAnsi="Arial" w:cs="Arial"/>
        <w:b/>
        <w:sz w:val="20"/>
      </w:rPr>
      <w:t xml:space="preserve"> • </w:t>
    </w:r>
    <w:r>
      <w:rPr>
        <w:b/>
        <w:sz w:val="20"/>
      </w:rPr>
      <w:t xml:space="preserve">Suur-Laagri 6-7, 10415 Tallinn </w:t>
    </w:r>
    <w:r>
      <w:rPr>
        <w:rFonts w:ascii="Arial" w:eastAsia="Arial" w:hAnsi="Arial" w:cs="Arial"/>
        <w:b/>
        <w:sz w:val="20"/>
      </w:rPr>
      <w:t>•</w:t>
    </w:r>
    <w:r>
      <w:rPr>
        <w:b/>
        <w:sz w:val="20"/>
      </w:rPr>
      <w:t xml:space="preserve"> info@heapank.ee </w:t>
    </w:r>
  </w:p>
  <w:p w14:paraId="2F6939D1" w14:textId="77777777" w:rsidR="001B5F43" w:rsidRDefault="00851FD6">
    <w:pPr>
      <w:spacing w:after="21" w:line="259" w:lineRule="auto"/>
      <w:ind w:left="2" w:firstLine="0"/>
      <w:jc w:val="left"/>
    </w:pPr>
    <w:r>
      <w:rPr>
        <w:b/>
        <w:sz w:val="20"/>
      </w:rPr>
      <w:t xml:space="preserve"> </w:t>
    </w:r>
  </w:p>
  <w:p w14:paraId="72DBCB8F" w14:textId="77777777" w:rsidR="001B5F43" w:rsidRDefault="00851FD6">
    <w:pPr>
      <w:spacing w:after="0" w:line="259" w:lineRule="auto"/>
      <w:ind w:left="427"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D68F" w14:textId="77777777" w:rsidR="00E72C3C" w:rsidRDefault="00E72C3C">
      <w:pPr>
        <w:spacing w:after="0" w:line="240" w:lineRule="auto"/>
      </w:pPr>
      <w:r>
        <w:separator/>
      </w:r>
    </w:p>
  </w:footnote>
  <w:footnote w:type="continuationSeparator" w:id="0">
    <w:p w14:paraId="66A6497A" w14:textId="77777777" w:rsidR="00E72C3C" w:rsidRDefault="00E72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FF1E" w14:textId="77777777" w:rsidR="001B5F43" w:rsidRDefault="00851FD6">
    <w:pPr>
      <w:spacing w:after="1039" w:line="259" w:lineRule="auto"/>
      <w:ind w:left="427" w:firstLine="0"/>
      <w:jc w:val="left"/>
    </w:pPr>
    <w:r>
      <w:rPr>
        <w:noProof/>
      </w:rPr>
      <w:drawing>
        <wp:anchor distT="0" distB="0" distL="114300" distR="114300" simplePos="0" relativeHeight="251658240" behindDoc="0" locked="0" layoutInCell="1" allowOverlap="0" wp14:anchorId="2843F5FE" wp14:editId="5240DF20">
          <wp:simplePos x="0" y="0"/>
          <wp:positionH relativeFrom="page">
            <wp:posOffset>4588510</wp:posOffset>
          </wp:positionH>
          <wp:positionV relativeFrom="page">
            <wp:posOffset>170205</wp:posOffset>
          </wp:positionV>
          <wp:extent cx="2390775" cy="657073"/>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2390775" cy="657073"/>
                  </a:xfrm>
                  <a:prstGeom prst="rect">
                    <a:avLst/>
                  </a:prstGeom>
                </pic:spPr>
              </pic:pic>
            </a:graphicData>
          </a:graphic>
        </wp:anchor>
      </w:drawing>
    </w:r>
    <w:r>
      <w:rPr>
        <w:rFonts w:ascii="Arial" w:eastAsia="Arial" w:hAnsi="Arial" w:cs="Arial"/>
        <w:sz w:val="20"/>
      </w:rPr>
      <w:t xml:space="preserve"> </w:t>
    </w:r>
  </w:p>
  <w:p w14:paraId="75E5F6DD" w14:textId="77777777" w:rsidR="001B5F43" w:rsidRDefault="00851FD6">
    <w:pPr>
      <w:spacing w:after="0" w:line="259" w:lineRule="auto"/>
      <w:ind w:left="427"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DA73" w14:textId="77777777" w:rsidR="001B5F43" w:rsidRDefault="00851FD6">
    <w:pPr>
      <w:spacing w:after="1039" w:line="259" w:lineRule="auto"/>
      <w:ind w:left="427" w:firstLine="0"/>
      <w:jc w:val="left"/>
    </w:pPr>
    <w:r>
      <w:rPr>
        <w:noProof/>
      </w:rPr>
      <w:drawing>
        <wp:anchor distT="0" distB="0" distL="114300" distR="114300" simplePos="0" relativeHeight="251659264" behindDoc="0" locked="0" layoutInCell="1" allowOverlap="0" wp14:anchorId="1DBC9DE7" wp14:editId="68026123">
          <wp:simplePos x="0" y="0"/>
          <wp:positionH relativeFrom="page">
            <wp:posOffset>4588510</wp:posOffset>
          </wp:positionH>
          <wp:positionV relativeFrom="page">
            <wp:posOffset>170205</wp:posOffset>
          </wp:positionV>
          <wp:extent cx="2390775" cy="65707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2390775" cy="657073"/>
                  </a:xfrm>
                  <a:prstGeom prst="rect">
                    <a:avLst/>
                  </a:prstGeom>
                </pic:spPr>
              </pic:pic>
            </a:graphicData>
          </a:graphic>
        </wp:anchor>
      </w:drawing>
    </w:r>
    <w:r>
      <w:rPr>
        <w:rFonts w:ascii="Arial" w:eastAsia="Arial" w:hAnsi="Arial" w:cs="Arial"/>
        <w:sz w:val="20"/>
      </w:rPr>
      <w:t xml:space="preserve"> </w:t>
    </w:r>
  </w:p>
  <w:p w14:paraId="52C050FB" w14:textId="77777777" w:rsidR="001B5F43" w:rsidRDefault="00851FD6">
    <w:pPr>
      <w:spacing w:after="0" w:line="259" w:lineRule="auto"/>
      <w:ind w:left="427"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753E" w14:textId="77777777" w:rsidR="001B5F43" w:rsidRDefault="00851FD6">
    <w:pPr>
      <w:spacing w:after="1039" w:line="259" w:lineRule="auto"/>
      <w:ind w:left="427" w:firstLine="0"/>
      <w:jc w:val="left"/>
    </w:pPr>
    <w:r>
      <w:rPr>
        <w:noProof/>
      </w:rPr>
      <w:drawing>
        <wp:anchor distT="0" distB="0" distL="114300" distR="114300" simplePos="0" relativeHeight="251660288" behindDoc="0" locked="0" layoutInCell="1" allowOverlap="0" wp14:anchorId="6B8B15D4" wp14:editId="51D14DCA">
          <wp:simplePos x="0" y="0"/>
          <wp:positionH relativeFrom="page">
            <wp:posOffset>4588510</wp:posOffset>
          </wp:positionH>
          <wp:positionV relativeFrom="page">
            <wp:posOffset>170205</wp:posOffset>
          </wp:positionV>
          <wp:extent cx="2390775" cy="65707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2390775" cy="657073"/>
                  </a:xfrm>
                  <a:prstGeom prst="rect">
                    <a:avLst/>
                  </a:prstGeom>
                </pic:spPr>
              </pic:pic>
            </a:graphicData>
          </a:graphic>
        </wp:anchor>
      </w:drawing>
    </w:r>
    <w:r>
      <w:rPr>
        <w:rFonts w:ascii="Arial" w:eastAsia="Arial" w:hAnsi="Arial" w:cs="Arial"/>
        <w:sz w:val="20"/>
      </w:rPr>
      <w:t xml:space="preserve"> </w:t>
    </w:r>
  </w:p>
  <w:p w14:paraId="599FBB51" w14:textId="77777777" w:rsidR="001B5F43" w:rsidRDefault="00851FD6">
    <w:pPr>
      <w:spacing w:after="0" w:line="259" w:lineRule="auto"/>
      <w:ind w:left="427"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F7909"/>
    <w:multiLevelType w:val="hybridMultilevel"/>
    <w:tmpl w:val="4D56685A"/>
    <w:lvl w:ilvl="0" w:tplc="C1846ACC">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E6289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BD225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664550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E2059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542B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F2415B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CE4C52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C22CA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43"/>
    <w:rsid w:val="001B5F43"/>
    <w:rsid w:val="002F3A21"/>
    <w:rsid w:val="007957E5"/>
    <w:rsid w:val="00851FD6"/>
    <w:rsid w:val="00AD13C9"/>
    <w:rsid w:val="00E72C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4:docId w14:val="61E35853"/>
  <w15:docId w15:val="{703B1F08-29D4-4E4D-AA6E-DE789684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LKM</dc:creator>
  <cp:keywords/>
  <cp:lastModifiedBy>Tiit Urva</cp:lastModifiedBy>
  <cp:revision>2</cp:revision>
  <dcterms:created xsi:type="dcterms:W3CDTF">2018-11-12T08:19:00Z</dcterms:created>
  <dcterms:modified xsi:type="dcterms:W3CDTF">2018-11-12T08:19:00Z</dcterms:modified>
</cp:coreProperties>
</file>